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E2758" w14:textId="77777777" w:rsidR="00181A8E" w:rsidRPr="00181A8E" w:rsidRDefault="00181A8E" w:rsidP="00181A8E">
      <w:pPr>
        <w:keepNext/>
        <w:keepLines/>
        <w:spacing w:before="400" w:after="0"/>
        <w:outlineLvl w:val="0"/>
        <w:rPr>
          <w:rFonts w:ascii="Calibri" w:eastAsiaTheme="majorEastAsia" w:hAnsi="Calibri" w:cstheme="majorBidi"/>
          <w:b/>
          <w:caps/>
          <w:color w:val="00B3F0"/>
          <w:sz w:val="36"/>
          <w:szCs w:val="32"/>
        </w:rPr>
      </w:pPr>
      <w:bookmarkStart w:id="0" w:name="_Toc35617403"/>
      <w:bookmarkStart w:id="1" w:name="_Toc35848967"/>
      <w:r w:rsidRPr="00181A8E">
        <w:rPr>
          <w:rFonts w:ascii="Calibri" w:eastAsiaTheme="majorEastAsia" w:hAnsi="Calibri" w:cstheme="majorBidi"/>
          <w:b/>
          <w:bCs/>
          <w:color w:val="00B3F0"/>
          <w:sz w:val="36"/>
          <w:szCs w:val="32"/>
        </w:rPr>
        <w:t xml:space="preserve">APPENDIX 1:  </w:t>
      </w:r>
      <w:r w:rsidRPr="00181A8E">
        <w:rPr>
          <w:rFonts w:ascii="Calibri" w:eastAsiaTheme="majorEastAsia" w:hAnsi="Calibri" w:cstheme="majorBidi"/>
          <w:b/>
          <w:caps/>
          <w:color w:val="00B3F0"/>
          <w:sz w:val="36"/>
          <w:szCs w:val="32"/>
        </w:rPr>
        <w:t>CONTINUOUS LEARNING - VIRTUAL INSTRUCTION LESSON PLANNING</w:t>
      </w:r>
      <w:bookmarkEnd w:id="0"/>
      <w:bookmarkEnd w:id="1"/>
    </w:p>
    <w:p w14:paraId="2A683B1A" w14:textId="77777777" w:rsidR="00181A8E" w:rsidRPr="00181A8E" w:rsidRDefault="00181A8E" w:rsidP="00181A8E"/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510"/>
        <w:gridCol w:w="2535"/>
        <w:gridCol w:w="2430"/>
        <w:gridCol w:w="1606"/>
        <w:gridCol w:w="1004"/>
        <w:gridCol w:w="2520"/>
        <w:gridCol w:w="2340"/>
      </w:tblGrid>
      <w:tr w:rsidR="00181A8E" w:rsidRPr="00181A8E" w14:paraId="31317517" w14:textId="77777777" w:rsidTr="00A220DE">
        <w:trPr>
          <w:jc w:val="center"/>
        </w:trPr>
        <w:tc>
          <w:tcPr>
            <w:tcW w:w="13945" w:type="dxa"/>
            <w:gridSpan w:val="7"/>
          </w:tcPr>
          <w:p w14:paraId="7BB03014" w14:textId="019D1610" w:rsidR="00181A8E" w:rsidRPr="00181A8E" w:rsidRDefault="00181A8E" w:rsidP="00181A8E">
            <w:pPr>
              <w:rPr>
                <w:sz w:val="28"/>
                <w:szCs w:val="28"/>
              </w:rPr>
            </w:pPr>
            <w:r w:rsidRPr="00181A8E">
              <w:rPr>
                <w:b/>
                <w:bCs/>
                <w:sz w:val="28"/>
                <w:szCs w:val="28"/>
              </w:rPr>
              <w:t xml:space="preserve">Teacher: </w:t>
            </w:r>
            <w:r w:rsidR="00213881">
              <w:rPr>
                <w:b/>
                <w:bCs/>
                <w:sz w:val="28"/>
                <w:szCs w:val="28"/>
              </w:rPr>
              <w:t>V. Garcia</w:t>
            </w:r>
            <w:bookmarkStart w:id="2" w:name="_GoBack"/>
            <w:bookmarkEnd w:id="2"/>
          </w:p>
        </w:tc>
      </w:tr>
      <w:tr w:rsidR="00181A8E" w:rsidRPr="00181A8E" w14:paraId="461F6FA2" w14:textId="77777777" w:rsidTr="00A220DE">
        <w:trPr>
          <w:jc w:val="center"/>
        </w:trPr>
        <w:tc>
          <w:tcPr>
            <w:tcW w:w="13945" w:type="dxa"/>
            <w:gridSpan w:val="7"/>
          </w:tcPr>
          <w:p w14:paraId="5165B6B7" w14:textId="7C859678" w:rsidR="00181A8E" w:rsidRPr="00181A8E" w:rsidRDefault="00181A8E" w:rsidP="00181A8E">
            <w:pPr>
              <w:rPr>
                <w:b/>
                <w:sz w:val="28"/>
                <w:szCs w:val="28"/>
              </w:rPr>
            </w:pPr>
            <w:r w:rsidRPr="00181A8E">
              <w:rPr>
                <w:b/>
                <w:sz w:val="28"/>
                <w:szCs w:val="28"/>
              </w:rPr>
              <w:t>Course:</w:t>
            </w:r>
            <w:r w:rsidR="00213881">
              <w:rPr>
                <w:b/>
                <w:sz w:val="28"/>
                <w:szCs w:val="28"/>
              </w:rPr>
              <w:t xml:space="preserve"> ELA 3 – 8</w:t>
            </w:r>
            <w:r w:rsidR="00213881" w:rsidRPr="00213881">
              <w:rPr>
                <w:b/>
                <w:sz w:val="28"/>
                <w:szCs w:val="28"/>
                <w:vertAlign w:val="superscript"/>
              </w:rPr>
              <w:t>th</w:t>
            </w:r>
            <w:r w:rsidR="00213881">
              <w:rPr>
                <w:b/>
                <w:sz w:val="28"/>
                <w:szCs w:val="28"/>
              </w:rPr>
              <w:t xml:space="preserve"> Grade </w:t>
            </w:r>
          </w:p>
        </w:tc>
      </w:tr>
      <w:tr w:rsidR="00181A8E" w:rsidRPr="00181A8E" w14:paraId="104150C0" w14:textId="77777777" w:rsidTr="00A220DE">
        <w:trPr>
          <w:jc w:val="center"/>
        </w:trPr>
        <w:tc>
          <w:tcPr>
            <w:tcW w:w="13945" w:type="dxa"/>
            <w:gridSpan w:val="7"/>
          </w:tcPr>
          <w:p w14:paraId="3F0A7BEF" w14:textId="25B7FDF8" w:rsidR="00181A8E" w:rsidRPr="00181A8E" w:rsidRDefault="00181A8E" w:rsidP="00181A8E">
            <w:pPr>
              <w:rPr>
                <w:b/>
                <w:bCs/>
                <w:sz w:val="28"/>
                <w:szCs w:val="28"/>
              </w:rPr>
            </w:pPr>
            <w:r w:rsidRPr="00181A8E">
              <w:rPr>
                <w:b/>
                <w:bCs/>
                <w:sz w:val="28"/>
                <w:szCs w:val="28"/>
              </w:rPr>
              <w:t>Dates:</w:t>
            </w:r>
            <w:r w:rsidR="00213881">
              <w:rPr>
                <w:b/>
                <w:bCs/>
                <w:sz w:val="28"/>
                <w:szCs w:val="28"/>
              </w:rPr>
              <w:t xml:space="preserve"> 3/30 – 4/3/2020</w:t>
            </w:r>
          </w:p>
        </w:tc>
      </w:tr>
      <w:tr w:rsidR="00181A8E" w:rsidRPr="00181A8E" w14:paraId="04AE9C81" w14:textId="77777777" w:rsidTr="0039620C">
        <w:trPr>
          <w:jc w:val="center"/>
        </w:trPr>
        <w:tc>
          <w:tcPr>
            <w:tcW w:w="1510" w:type="dxa"/>
            <w:shd w:val="clear" w:color="auto" w:fill="92D050"/>
            <w:vAlign w:val="center"/>
          </w:tcPr>
          <w:p w14:paraId="34C38FD2" w14:textId="77777777" w:rsidR="00181A8E" w:rsidRPr="00181A8E" w:rsidRDefault="00181A8E" w:rsidP="00181A8E">
            <w:pPr>
              <w:jc w:val="center"/>
            </w:pPr>
            <w:r w:rsidRPr="00181A8E">
              <w:rPr>
                <w:b/>
                <w:sz w:val="28"/>
              </w:rPr>
              <w:t xml:space="preserve">Week </w:t>
            </w:r>
          </w:p>
        </w:tc>
        <w:tc>
          <w:tcPr>
            <w:tcW w:w="2535" w:type="dxa"/>
            <w:shd w:val="clear" w:color="auto" w:fill="92D050"/>
            <w:vAlign w:val="center"/>
          </w:tcPr>
          <w:p w14:paraId="4D713C5C" w14:textId="28F2A222" w:rsidR="00181A8E" w:rsidRPr="00181A8E" w:rsidRDefault="00213881" w:rsidP="00181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3/30</w:t>
            </w:r>
          </w:p>
        </w:tc>
        <w:tc>
          <w:tcPr>
            <w:tcW w:w="2430" w:type="dxa"/>
            <w:shd w:val="clear" w:color="auto" w:fill="92D050"/>
            <w:vAlign w:val="center"/>
          </w:tcPr>
          <w:p w14:paraId="0C2583CB" w14:textId="5D0A191C" w:rsidR="00181A8E" w:rsidRPr="00181A8E" w:rsidRDefault="00213881" w:rsidP="00181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 3/31</w:t>
            </w:r>
          </w:p>
        </w:tc>
        <w:tc>
          <w:tcPr>
            <w:tcW w:w="2610" w:type="dxa"/>
            <w:gridSpan w:val="2"/>
            <w:shd w:val="clear" w:color="auto" w:fill="92D050"/>
            <w:vAlign w:val="center"/>
          </w:tcPr>
          <w:p w14:paraId="163DCB94" w14:textId="2FD47754" w:rsidR="00181A8E" w:rsidRPr="00181A8E" w:rsidRDefault="00213881" w:rsidP="00181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 4/1</w:t>
            </w:r>
          </w:p>
        </w:tc>
        <w:tc>
          <w:tcPr>
            <w:tcW w:w="2520" w:type="dxa"/>
            <w:shd w:val="clear" w:color="auto" w:fill="92D050"/>
            <w:vAlign w:val="center"/>
          </w:tcPr>
          <w:p w14:paraId="5BB7B585" w14:textId="578DFA1D" w:rsidR="00181A8E" w:rsidRPr="00181A8E" w:rsidRDefault="00213881" w:rsidP="00181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 4/2</w:t>
            </w:r>
          </w:p>
        </w:tc>
        <w:tc>
          <w:tcPr>
            <w:tcW w:w="2340" w:type="dxa"/>
            <w:shd w:val="clear" w:color="auto" w:fill="92D050"/>
            <w:vAlign w:val="center"/>
          </w:tcPr>
          <w:p w14:paraId="31BB9778" w14:textId="4757B198" w:rsidR="00181A8E" w:rsidRPr="00181A8E" w:rsidRDefault="00213881" w:rsidP="00181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 4/3</w:t>
            </w:r>
          </w:p>
        </w:tc>
      </w:tr>
      <w:tr w:rsidR="00181A8E" w:rsidRPr="00181A8E" w14:paraId="0CCEEC6B" w14:textId="77777777" w:rsidTr="0039620C">
        <w:trPr>
          <w:jc w:val="center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39B6C666" w14:textId="77777777" w:rsidR="00181A8E" w:rsidRPr="00181A8E" w:rsidRDefault="00181A8E" w:rsidP="00181A8E">
            <w:pPr>
              <w:jc w:val="center"/>
              <w:rPr>
                <w:b/>
                <w:sz w:val="23"/>
                <w:szCs w:val="23"/>
              </w:rPr>
            </w:pPr>
            <w:r w:rsidRPr="00181A8E">
              <w:rPr>
                <w:b/>
                <w:sz w:val="23"/>
                <w:szCs w:val="23"/>
              </w:rPr>
              <w:t>Instructional Materials and Resources</w:t>
            </w:r>
          </w:p>
        </w:tc>
        <w:tc>
          <w:tcPr>
            <w:tcW w:w="2535" w:type="dxa"/>
            <w:shd w:val="clear" w:color="auto" w:fill="FFF2CC" w:themeFill="accent4" w:themeFillTint="33"/>
            <w:vAlign w:val="center"/>
          </w:tcPr>
          <w:p w14:paraId="062F3A2B" w14:textId="1CAD3754" w:rsidR="00181A8E" w:rsidRPr="00181A8E" w:rsidRDefault="00FE5B0F" w:rsidP="00FE5B0F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Canvas Module Week 1 Assignments; ability to save </w:t>
            </w:r>
            <w:r w:rsidR="0039620C">
              <w:rPr>
                <w:i/>
                <w:sz w:val="23"/>
                <w:szCs w:val="23"/>
              </w:rPr>
              <w:t xml:space="preserve">as </w:t>
            </w:r>
            <w:r>
              <w:rPr>
                <w:i/>
                <w:sz w:val="23"/>
                <w:szCs w:val="23"/>
              </w:rPr>
              <w:t xml:space="preserve">or </w:t>
            </w:r>
            <w:r w:rsidR="003266F4">
              <w:rPr>
                <w:i/>
                <w:sz w:val="23"/>
                <w:szCs w:val="23"/>
              </w:rPr>
              <w:t>flash drive</w:t>
            </w:r>
            <w:r>
              <w:rPr>
                <w:i/>
                <w:sz w:val="23"/>
                <w:szCs w:val="23"/>
              </w:rPr>
              <w:t>; paper and pencil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5CD74AA7" w14:textId="02ADD334" w:rsidR="00181A8E" w:rsidRPr="00181A8E" w:rsidRDefault="0039620C" w:rsidP="00857ED3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Canvas Module Week 1 Assignments; Resources; </w:t>
            </w:r>
            <w:r w:rsidRPr="00611F94">
              <w:rPr>
                <w:i/>
                <w:sz w:val="23"/>
                <w:szCs w:val="23"/>
                <w:highlight w:val="cyan"/>
              </w:rPr>
              <w:t>Scholastic</w:t>
            </w:r>
            <w:r w:rsidR="009E5607" w:rsidRPr="00611F94">
              <w:rPr>
                <w:i/>
                <w:sz w:val="23"/>
                <w:szCs w:val="23"/>
                <w:highlight w:val="cyan"/>
              </w:rPr>
              <w:t>s</w:t>
            </w:r>
            <w:r w:rsidRPr="00611F94">
              <w:rPr>
                <w:i/>
                <w:sz w:val="23"/>
                <w:szCs w:val="23"/>
                <w:highlight w:val="cyan"/>
              </w:rPr>
              <w:t>cope</w:t>
            </w:r>
            <w:r w:rsidR="009E5607" w:rsidRPr="00611F94">
              <w:rPr>
                <w:i/>
                <w:sz w:val="23"/>
                <w:szCs w:val="23"/>
                <w:highlight w:val="cyan"/>
              </w:rPr>
              <w:t>.com</w:t>
            </w:r>
            <w:r w:rsidRPr="00611F94">
              <w:rPr>
                <w:i/>
                <w:sz w:val="23"/>
                <w:szCs w:val="23"/>
                <w:highlight w:val="cyan"/>
              </w:rPr>
              <w:t>;</w:t>
            </w:r>
            <w:r>
              <w:rPr>
                <w:i/>
                <w:sz w:val="23"/>
                <w:szCs w:val="23"/>
              </w:rPr>
              <w:t xml:space="preserve"> </w:t>
            </w:r>
            <w:r w:rsidR="000A4FDB">
              <w:rPr>
                <w:i/>
                <w:sz w:val="23"/>
                <w:szCs w:val="23"/>
              </w:rPr>
              <w:t xml:space="preserve">Dictionary.com; </w:t>
            </w:r>
            <w:r>
              <w:rPr>
                <w:i/>
                <w:sz w:val="23"/>
                <w:szCs w:val="23"/>
              </w:rPr>
              <w:t>save as or flash drive; paper and pencil</w:t>
            </w:r>
          </w:p>
        </w:tc>
        <w:tc>
          <w:tcPr>
            <w:tcW w:w="2610" w:type="dxa"/>
            <w:gridSpan w:val="2"/>
            <w:shd w:val="clear" w:color="auto" w:fill="FFF2CC" w:themeFill="accent4" w:themeFillTint="33"/>
          </w:tcPr>
          <w:p w14:paraId="4A57CA00" w14:textId="2A348A1D" w:rsidR="00181A8E" w:rsidRPr="00181A8E" w:rsidRDefault="0039620C" w:rsidP="00857ED3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Canvas Module Week 1 Assignments; </w:t>
            </w:r>
            <w:r w:rsidR="009E5607">
              <w:rPr>
                <w:i/>
                <w:sz w:val="23"/>
                <w:szCs w:val="23"/>
              </w:rPr>
              <w:t xml:space="preserve">Resources; </w:t>
            </w:r>
            <w:r w:rsidR="009E5607" w:rsidRPr="00611F94">
              <w:rPr>
                <w:i/>
                <w:sz w:val="23"/>
                <w:szCs w:val="23"/>
                <w:highlight w:val="cyan"/>
              </w:rPr>
              <w:t>Scholasticscope.com;</w:t>
            </w:r>
            <w:r w:rsidR="009E5607">
              <w:rPr>
                <w:i/>
                <w:sz w:val="23"/>
                <w:szCs w:val="23"/>
              </w:rPr>
              <w:t xml:space="preserve"> </w:t>
            </w:r>
            <w:r>
              <w:rPr>
                <w:i/>
                <w:sz w:val="23"/>
                <w:szCs w:val="23"/>
              </w:rPr>
              <w:t>ability to save or flash drive; paper and pencil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24ED39F8" w14:textId="0669668A" w:rsidR="00181A8E" w:rsidRPr="00181A8E" w:rsidRDefault="0039620C" w:rsidP="00857ED3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Canvas Module Week 1 Assignments; </w:t>
            </w:r>
            <w:r w:rsidR="009E5607">
              <w:rPr>
                <w:i/>
                <w:sz w:val="23"/>
                <w:szCs w:val="23"/>
              </w:rPr>
              <w:t xml:space="preserve">Resources; </w:t>
            </w:r>
            <w:r w:rsidR="009E5607" w:rsidRPr="00611F94">
              <w:rPr>
                <w:i/>
                <w:sz w:val="23"/>
                <w:szCs w:val="23"/>
                <w:highlight w:val="cyan"/>
              </w:rPr>
              <w:t>Scholasticscope.com;</w:t>
            </w:r>
            <w:r w:rsidR="009E5607">
              <w:rPr>
                <w:i/>
                <w:sz w:val="23"/>
                <w:szCs w:val="23"/>
              </w:rPr>
              <w:t xml:space="preserve"> </w:t>
            </w:r>
            <w:r>
              <w:rPr>
                <w:i/>
                <w:sz w:val="23"/>
                <w:szCs w:val="23"/>
              </w:rPr>
              <w:t>ability to save or flash drive; paper and pencil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3BD59C03" w14:textId="0ABBAFE5" w:rsidR="00181A8E" w:rsidRPr="00181A8E" w:rsidRDefault="0039620C" w:rsidP="00857ED3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Canvas Module Week 1 Assignments; </w:t>
            </w:r>
            <w:r w:rsidR="009E5607" w:rsidRPr="00021A55">
              <w:rPr>
                <w:i/>
                <w:sz w:val="23"/>
                <w:szCs w:val="23"/>
                <w:highlight w:val="magenta"/>
              </w:rPr>
              <w:t>quill.org</w:t>
            </w:r>
          </w:p>
        </w:tc>
      </w:tr>
      <w:tr w:rsidR="00181A8E" w:rsidRPr="000A4FDB" w14:paraId="6784EAAD" w14:textId="77777777" w:rsidTr="0039620C">
        <w:trPr>
          <w:jc w:val="center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795089BA" w14:textId="77777777" w:rsidR="00181A8E" w:rsidRPr="00181A8E" w:rsidRDefault="00181A8E" w:rsidP="00181A8E">
            <w:pPr>
              <w:jc w:val="center"/>
              <w:rPr>
                <w:b/>
                <w:sz w:val="23"/>
                <w:szCs w:val="23"/>
              </w:rPr>
            </w:pPr>
            <w:r w:rsidRPr="00181A8E">
              <w:rPr>
                <w:b/>
                <w:sz w:val="23"/>
                <w:szCs w:val="23"/>
              </w:rPr>
              <w:t>Instructional Activities</w:t>
            </w:r>
          </w:p>
        </w:tc>
        <w:tc>
          <w:tcPr>
            <w:tcW w:w="2535" w:type="dxa"/>
            <w:shd w:val="clear" w:color="auto" w:fill="FFF2CC" w:themeFill="accent4" w:themeFillTint="33"/>
            <w:vAlign w:val="center"/>
          </w:tcPr>
          <w:p w14:paraId="4D539F3C" w14:textId="647505EB" w:rsidR="00181A8E" w:rsidRPr="0039620C" w:rsidRDefault="009E5607" w:rsidP="0039620C">
            <w:pPr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Canvas instructions; </w:t>
            </w:r>
            <w:r w:rsidR="00FE5B0F">
              <w:rPr>
                <w:i/>
                <w:sz w:val="23"/>
                <w:szCs w:val="23"/>
              </w:rPr>
              <w:t>Canvas quiz and discussion; HMH video; PowerPoint with Canvas discussion</w:t>
            </w:r>
          </w:p>
        </w:tc>
        <w:tc>
          <w:tcPr>
            <w:tcW w:w="2430" w:type="dxa"/>
            <w:shd w:val="clear" w:color="auto" w:fill="FFF2CC" w:themeFill="accent4" w:themeFillTint="33"/>
          </w:tcPr>
          <w:p w14:paraId="1C10A9D9" w14:textId="743CC50E" w:rsidR="00181A8E" w:rsidRPr="000A4FDB" w:rsidRDefault="000A4FDB" w:rsidP="00857ED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Canvas instructions; </w:t>
            </w:r>
            <w:r w:rsidR="009E5607" w:rsidRPr="00611F94">
              <w:rPr>
                <w:i/>
                <w:iCs/>
                <w:sz w:val="23"/>
                <w:szCs w:val="23"/>
                <w:highlight w:val="cyan"/>
              </w:rPr>
              <w:t>Scope’s</w:t>
            </w:r>
            <w:r w:rsidR="009E5607" w:rsidRPr="00611F94">
              <w:rPr>
                <w:sz w:val="23"/>
                <w:szCs w:val="23"/>
                <w:highlight w:val="cyan"/>
              </w:rPr>
              <w:t xml:space="preserve"> </w:t>
            </w:r>
            <w:r w:rsidRPr="00611F94">
              <w:rPr>
                <w:sz w:val="23"/>
                <w:szCs w:val="23"/>
                <w:highlight w:val="cyan"/>
              </w:rPr>
              <w:t xml:space="preserve">“Escape from Slavery” audio and text; PDF of vocabulary assignment and video discussion; </w:t>
            </w:r>
            <w:r w:rsidRPr="00611F94">
              <w:rPr>
                <w:i/>
                <w:iCs/>
                <w:sz w:val="23"/>
                <w:szCs w:val="23"/>
                <w:highlight w:val="cyan"/>
              </w:rPr>
              <w:t>Scope</w:t>
            </w:r>
            <w:r w:rsidRPr="00611F94">
              <w:rPr>
                <w:sz w:val="23"/>
                <w:szCs w:val="23"/>
                <w:highlight w:val="cyan"/>
              </w:rPr>
              <w:t xml:space="preserve"> video</w:t>
            </w:r>
          </w:p>
        </w:tc>
        <w:tc>
          <w:tcPr>
            <w:tcW w:w="2610" w:type="dxa"/>
            <w:gridSpan w:val="2"/>
            <w:shd w:val="clear" w:color="auto" w:fill="FFF2CC" w:themeFill="accent4" w:themeFillTint="33"/>
          </w:tcPr>
          <w:p w14:paraId="4650B6A2" w14:textId="4C3B2C4D" w:rsidR="00181A8E" w:rsidRPr="00181A8E" w:rsidRDefault="000A4FDB" w:rsidP="00857ED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Canvas instructions; </w:t>
            </w:r>
            <w:r w:rsidR="009E5607" w:rsidRPr="00611F94">
              <w:rPr>
                <w:i/>
                <w:iCs/>
                <w:sz w:val="23"/>
                <w:szCs w:val="23"/>
                <w:highlight w:val="cyan"/>
              </w:rPr>
              <w:t>Scope’s</w:t>
            </w:r>
            <w:r w:rsidR="009E5607" w:rsidRPr="00611F94">
              <w:rPr>
                <w:sz w:val="23"/>
                <w:szCs w:val="23"/>
                <w:highlight w:val="cyan"/>
              </w:rPr>
              <w:t xml:space="preserve"> </w:t>
            </w:r>
            <w:r w:rsidRPr="00611F94">
              <w:rPr>
                <w:sz w:val="23"/>
                <w:szCs w:val="23"/>
                <w:highlight w:val="cyan"/>
              </w:rPr>
              <w:t>“Escape from Slavery” audio and text; PDF of main idea and details assignment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217B45A9" w14:textId="1B7070C9" w:rsidR="00181A8E" w:rsidRPr="00181A8E" w:rsidRDefault="000A4FDB" w:rsidP="00857ED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Canvas instructions; </w:t>
            </w:r>
            <w:r w:rsidR="009E5607" w:rsidRPr="00611F94">
              <w:rPr>
                <w:i/>
                <w:iCs/>
                <w:sz w:val="23"/>
                <w:szCs w:val="23"/>
                <w:highlight w:val="cyan"/>
              </w:rPr>
              <w:t>Scope’s</w:t>
            </w:r>
            <w:r w:rsidR="009E5607" w:rsidRPr="00611F94">
              <w:rPr>
                <w:sz w:val="23"/>
                <w:szCs w:val="23"/>
                <w:highlight w:val="cyan"/>
              </w:rPr>
              <w:t xml:space="preserve"> </w:t>
            </w:r>
            <w:r w:rsidRPr="00611F94">
              <w:rPr>
                <w:sz w:val="23"/>
                <w:szCs w:val="23"/>
                <w:highlight w:val="cyan"/>
              </w:rPr>
              <w:t>“Escape from Slavery” audio and text; PDF of text features assignment</w:t>
            </w:r>
            <w:r>
              <w:rPr>
                <w:sz w:val="23"/>
                <w:szCs w:val="23"/>
              </w:rPr>
              <w:t>; Canvas quiz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112C31F3" w14:textId="48B1CAF9" w:rsidR="00181A8E" w:rsidRPr="000A4FDB" w:rsidRDefault="000A4FDB" w:rsidP="00857ED3">
            <w:pPr>
              <w:rPr>
                <w:sz w:val="23"/>
                <w:szCs w:val="23"/>
                <w:lang w:val="fr-FR"/>
              </w:rPr>
            </w:pPr>
            <w:r w:rsidRPr="000A4FDB">
              <w:rPr>
                <w:sz w:val="23"/>
                <w:szCs w:val="23"/>
                <w:lang w:val="fr-FR"/>
              </w:rPr>
              <w:t xml:space="preserve">Canvas instructions; </w:t>
            </w:r>
            <w:r w:rsidRPr="00021A55">
              <w:rPr>
                <w:sz w:val="23"/>
                <w:szCs w:val="23"/>
                <w:highlight w:val="magenta"/>
                <w:lang w:val="fr-FR"/>
              </w:rPr>
              <w:t>quill.org Negation 1 activities (4)</w:t>
            </w:r>
          </w:p>
        </w:tc>
      </w:tr>
      <w:tr w:rsidR="00181A8E" w:rsidRPr="00181A8E" w14:paraId="47C572EE" w14:textId="77777777" w:rsidTr="0039620C">
        <w:trPr>
          <w:jc w:val="center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712BDFE9" w14:textId="77777777" w:rsidR="00181A8E" w:rsidRPr="00181A8E" w:rsidRDefault="00181A8E" w:rsidP="00181A8E">
            <w:pPr>
              <w:jc w:val="center"/>
              <w:rPr>
                <w:b/>
                <w:sz w:val="23"/>
                <w:szCs w:val="23"/>
              </w:rPr>
            </w:pPr>
            <w:r w:rsidRPr="00181A8E">
              <w:rPr>
                <w:b/>
                <w:sz w:val="23"/>
                <w:szCs w:val="23"/>
              </w:rPr>
              <w:t>Tasks/</w:t>
            </w:r>
          </w:p>
          <w:p w14:paraId="3B39F185" w14:textId="77777777" w:rsidR="00181A8E" w:rsidRPr="00181A8E" w:rsidRDefault="00181A8E" w:rsidP="00181A8E">
            <w:pPr>
              <w:jc w:val="center"/>
              <w:rPr>
                <w:b/>
                <w:sz w:val="23"/>
                <w:szCs w:val="23"/>
              </w:rPr>
            </w:pPr>
            <w:r w:rsidRPr="00181A8E">
              <w:rPr>
                <w:b/>
                <w:sz w:val="23"/>
                <w:szCs w:val="23"/>
              </w:rPr>
              <w:t>Assignments</w:t>
            </w:r>
          </w:p>
        </w:tc>
        <w:tc>
          <w:tcPr>
            <w:tcW w:w="2535" w:type="dxa"/>
            <w:shd w:val="clear" w:color="auto" w:fill="D9E2F3" w:themeFill="accent5" w:themeFillTint="33"/>
            <w:vAlign w:val="center"/>
          </w:tcPr>
          <w:p w14:paraId="0DBB04F1" w14:textId="6D7B3B00" w:rsidR="00181A8E" w:rsidRPr="00181A8E" w:rsidRDefault="00FE5B0F" w:rsidP="003266F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Students will be able to </w:t>
            </w:r>
            <w:r w:rsidR="003266F4">
              <w:rPr>
                <w:sz w:val="23"/>
                <w:szCs w:val="23"/>
              </w:rPr>
              <w:t>follow the Module for Collection 3: Week 1</w:t>
            </w:r>
            <w:r w:rsidR="00372271">
              <w:rPr>
                <w:sz w:val="23"/>
                <w:szCs w:val="23"/>
              </w:rPr>
              <w:t xml:space="preserve">: </w:t>
            </w:r>
            <w:r w:rsidR="00EC1FEF">
              <w:rPr>
                <w:sz w:val="23"/>
                <w:szCs w:val="23"/>
              </w:rPr>
              <w:t xml:space="preserve">view screenshot instruction video (print provided); </w:t>
            </w:r>
            <w:r w:rsidR="003266F4">
              <w:rPr>
                <w:sz w:val="23"/>
                <w:szCs w:val="23"/>
              </w:rPr>
              <w:t>complet</w:t>
            </w:r>
            <w:r w:rsidR="00EC1FEF">
              <w:rPr>
                <w:sz w:val="23"/>
                <w:szCs w:val="23"/>
              </w:rPr>
              <w:t>e</w:t>
            </w:r>
            <w:r w:rsidR="003266F4">
              <w:rPr>
                <w:sz w:val="23"/>
                <w:szCs w:val="23"/>
              </w:rPr>
              <w:t xml:space="preserve"> a figurative language quiz; respond to a discussion about two images and </w:t>
            </w:r>
            <w:r w:rsidR="00372271">
              <w:rPr>
                <w:sz w:val="23"/>
                <w:szCs w:val="23"/>
              </w:rPr>
              <w:t xml:space="preserve">its </w:t>
            </w:r>
            <w:r w:rsidR="003266F4">
              <w:rPr>
                <w:sz w:val="23"/>
                <w:szCs w:val="23"/>
              </w:rPr>
              <w:t xml:space="preserve">theme; think about and view background video; and view and respond to a discussion about </w:t>
            </w:r>
            <w:r w:rsidR="00857ED3">
              <w:rPr>
                <w:sz w:val="23"/>
                <w:szCs w:val="23"/>
              </w:rPr>
              <w:t xml:space="preserve">History of Slavery </w:t>
            </w:r>
            <w:r w:rsidR="003266F4">
              <w:rPr>
                <w:sz w:val="23"/>
                <w:szCs w:val="23"/>
              </w:rPr>
              <w:t>PowerPoint.</w:t>
            </w:r>
          </w:p>
        </w:tc>
        <w:tc>
          <w:tcPr>
            <w:tcW w:w="2430" w:type="dxa"/>
            <w:shd w:val="clear" w:color="auto" w:fill="D9E2F3" w:themeFill="accent5" w:themeFillTint="33"/>
          </w:tcPr>
          <w:p w14:paraId="5AB95150" w14:textId="62D6865A" w:rsidR="00181A8E" w:rsidRPr="00181A8E" w:rsidRDefault="0039620C" w:rsidP="0039620C">
            <w:pPr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Students will be able to follow the Module for Collection 3: Week 1</w:t>
            </w:r>
            <w:r w:rsidR="00372271">
              <w:rPr>
                <w:sz w:val="23"/>
                <w:szCs w:val="23"/>
              </w:rPr>
              <w:t xml:space="preserve">: </w:t>
            </w:r>
            <w:r w:rsidR="00EC1FEF">
              <w:rPr>
                <w:sz w:val="23"/>
                <w:szCs w:val="23"/>
              </w:rPr>
              <w:t xml:space="preserve">view screenshot instruction video (print provided); </w:t>
            </w:r>
            <w:r w:rsidR="009E5607" w:rsidRPr="00611F94">
              <w:rPr>
                <w:sz w:val="23"/>
                <w:szCs w:val="23"/>
                <w:highlight w:val="cyan"/>
              </w:rPr>
              <w:t xml:space="preserve">listen to </w:t>
            </w:r>
            <w:r w:rsidR="009E5607" w:rsidRPr="00611F94">
              <w:rPr>
                <w:i/>
                <w:iCs/>
                <w:sz w:val="23"/>
                <w:szCs w:val="23"/>
                <w:highlight w:val="cyan"/>
              </w:rPr>
              <w:t>Scope</w:t>
            </w:r>
            <w:r w:rsidR="009E5607" w:rsidRPr="00611F94">
              <w:rPr>
                <w:sz w:val="23"/>
                <w:szCs w:val="23"/>
                <w:highlight w:val="cyan"/>
              </w:rPr>
              <w:t xml:space="preserve"> audio o</w:t>
            </w:r>
            <w:r w:rsidR="00EC1FEF" w:rsidRPr="00611F94">
              <w:rPr>
                <w:sz w:val="23"/>
                <w:szCs w:val="23"/>
                <w:highlight w:val="cyan"/>
              </w:rPr>
              <w:t>f</w:t>
            </w:r>
            <w:r w:rsidR="009E5607" w:rsidRPr="00611F94">
              <w:rPr>
                <w:sz w:val="23"/>
                <w:szCs w:val="23"/>
                <w:highlight w:val="cyan"/>
              </w:rPr>
              <w:t xml:space="preserve"> vocabulary; complet</w:t>
            </w:r>
            <w:r w:rsidR="00EC1FEF" w:rsidRPr="00611F94">
              <w:rPr>
                <w:sz w:val="23"/>
                <w:szCs w:val="23"/>
                <w:highlight w:val="cyan"/>
              </w:rPr>
              <w:t xml:space="preserve">e </w:t>
            </w:r>
            <w:r w:rsidR="009E5607" w:rsidRPr="00611F94">
              <w:rPr>
                <w:sz w:val="23"/>
                <w:szCs w:val="23"/>
                <w:highlight w:val="cyan"/>
              </w:rPr>
              <w:t>a vocabulary PDF worksheet and provid</w:t>
            </w:r>
            <w:r w:rsidR="00EC1FEF" w:rsidRPr="00611F94">
              <w:rPr>
                <w:sz w:val="23"/>
                <w:szCs w:val="23"/>
                <w:highlight w:val="cyan"/>
              </w:rPr>
              <w:t>e</w:t>
            </w:r>
            <w:r w:rsidR="009E5607" w:rsidRPr="00611F94">
              <w:rPr>
                <w:sz w:val="23"/>
                <w:szCs w:val="23"/>
                <w:highlight w:val="cyan"/>
              </w:rPr>
              <w:t xml:space="preserve"> 2 related words, 2 synonyms, and 2 antonyms</w:t>
            </w:r>
            <w:r w:rsidR="00372271" w:rsidRPr="00611F94">
              <w:rPr>
                <w:sz w:val="23"/>
                <w:szCs w:val="23"/>
                <w:highlight w:val="cyan"/>
              </w:rPr>
              <w:t xml:space="preserve"> (upload)</w:t>
            </w:r>
            <w:r w:rsidR="009E5607" w:rsidRPr="00611F94">
              <w:rPr>
                <w:sz w:val="23"/>
                <w:szCs w:val="23"/>
                <w:highlight w:val="cyan"/>
              </w:rPr>
              <w:t xml:space="preserve">; watch </w:t>
            </w:r>
            <w:r w:rsidR="009E5607" w:rsidRPr="00611F94">
              <w:rPr>
                <w:i/>
                <w:iCs/>
                <w:sz w:val="23"/>
                <w:szCs w:val="23"/>
                <w:highlight w:val="cyan"/>
              </w:rPr>
              <w:t>Scope</w:t>
            </w:r>
            <w:r w:rsidR="009E5607" w:rsidRPr="00611F94">
              <w:rPr>
                <w:sz w:val="23"/>
                <w:szCs w:val="23"/>
                <w:highlight w:val="cyan"/>
              </w:rPr>
              <w:t xml:space="preserve"> background </w:t>
            </w:r>
            <w:r w:rsidR="00372271" w:rsidRPr="00611F94">
              <w:rPr>
                <w:sz w:val="23"/>
                <w:szCs w:val="23"/>
                <w:highlight w:val="cyan"/>
              </w:rPr>
              <w:t>of</w:t>
            </w:r>
            <w:r w:rsidR="00372271">
              <w:rPr>
                <w:sz w:val="23"/>
                <w:szCs w:val="23"/>
              </w:rPr>
              <w:t xml:space="preserve"> </w:t>
            </w:r>
            <w:r w:rsidR="00372271" w:rsidRPr="00611F94">
              <w:rPr>
                <w:sz w:val="23"/>
                <w:szCs w:val="23"/>
                <w:highlight w:val="cyan"/>
              </w:rPr>
              <w:lastRenderedPageBreak/>
              <w:t xml:space="preserve">Underground Railroad </w:t>
            </w:r>
            <w:r w:rsidR="009E5607" w:rsidRPr="00611F94">
              <w:rPr>
                <w:sz w:val="23"/>
                <w:szCs w:val="23"/>
                <w:highlight w:val="cyan"/>
              </w:rPr>
              <w:t>video and completing discussion PDF worksheet</w:t>
            </w:r>
            <w:r w:rsidR="00372271" w:rsidRPr="00611F94">
              <w:rPr>
                <w:sz w:val="23"/>
                <w:szCs w:val="23"/>
                <w:highlight w:val="cyan"/>
              </w:rPr>
              <w:t xml:space="preserve"> (upload)</w:t>
            </w:r>
            <w:r w:rsidR="00EC1FEF" w:rsidRPr="00611F94">
              <w:rPr>
                <w:sz w:val="23"/>
                <w:szCs w:val="23"/>
                <w:highlight w:val="cyan"/>
              </w:rPr>
              <w:t>.</w:t>
            </w:r>
          </w:p>
        </w:tc>
        <w:tc>
          <w:tcPr>
            <w:tcW w:w="2610" w:type="dxa"/>
            <w:gridSpan w:val="2"/>
            <w:shd w:val="clear" w:color="auto" w:fill="D9E2F3" w:themeFill="accent5" w:themeFillTint="33"/>
          </w:tcPr>
          <w:p w14:paraId="12715A02" w14:textId="3623B5C3" w:rsidR="00181A8E" w:rsidRPr="00181A8E" w:rsidRDefault="0039620C" w:rsidP="0039620C">
            <w:pPr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Students will be able to follow the Module for Collection 3: Week 1</w:t>
            </w:r>
            <w:r w:rsidR="00372271">
              <w:rPr>
                <w:sz w:val="23"/>
                <w:szCs w:val="23"/>
              </w:rPr>
              <w:t xml:space="preserve">: </w:t>
            </w:r>
            <w:r w:rsidR="00EC1FEF">
              <w:rPr>
                <w:sz w:val="23"/>
                <w:szCs w:val="23"/>
              </w:rPr>
              <w:t xml:space="preserve">view screenshot instruction video (print provided); </w:t>
            </w:r>
            <w:r w:rsidR="00372271" w:rsidRPr="00611F94">
              <w:rPr>
                <w:sz w:val="23"/>
                <w:szCs w:val="23"/>
                <w:highlight w:val="cyan"/>
              </w:rPr>
              <w:t xml:space="preserve">read and listen to </w:t>
            </w:r>
            <w:r w:rsidR="00372271" w:rsidRPr="00611F94">
              <w:rPr>
                <w:i/>
                <w:iCs/>
                <w:sz w:val="23"/>
                <w:szCs w:val="23"/>
                <w:highlight w:val="cyan"/>
              </w:rPr>
              <w:t>Scope’s</w:t>
            </w:r>
            <w:r w:rsidR="00372271" w:rsidRPr="00611F94">
              <w:rPr>
                <w:sz w:val="23"/>
                <w:szCs w:val="23"/>
                <w:highlight w:val="cyan"/>
              </w:rPr>
              <w:t xml:space="preserve"> “Escape from Slavery” </w:t>
            </w:r>
            <w:r w:rsidR="00EC1FEF" w:rsidRPr="00611F94">
              <w:rPr>
                <w:sz w:val="23"/>
                <w:szCs w:val="23"/>
                <w:highlight w:val="cyan"/>
              </w:rPr>
              <w:t xml:space="preserve">article </w:t>
            </w:r>
            <w:r w:rsidR="00372271" w:rsidRPr="00611F94">
              <w:rPr>
                <w:sz w:val="23"/>
                <w:szCs w:val="23"/>
                <w:highlight w:val="cyan"/>
              </w:rPr>
              <w:t>about Harriet Tubman</w:t>
            </w:r>
            <w:r w:rsidR="00EC1FEF" w:rsidRPr="00611F94">
              <w:rPr>
                <w:sz w:val="23"/>
                <w:szCs w:val="23"/>
                <w:highlight w:val="cyan"/>
              </w:rPr>
              <w:t xml:space="preserve"> (twice)</w:t>
            </w:r>
            <w:r w:rsidR="00372271" w:rsidRPr="00611F94">
              <w:rPr>
                <w:sz w:val="23"/>
                <w:szCs w:val="23"/>
                <w:highlight w:val="cyan"/>
              </w:rPr>
              <w:t>;</w:t>
            </w:r>
            <w:r w:rsidR="00EC1FEF" w:rsidRPr="00611F94">
              <w:rPr>
                <w:sz w:val="23"/>
                <w:szCs w:val="23"/>
                <w:highlight w:val="cyan"/>
              </w:rPr>
              <w:t xml:space="preserve"> and complete main idea and details PDF worksheet </w:t>
            </w:r>
            <w:r w:rsidR="00BB7460" w:rsidRPr="00611F94">
              <w:rPr>
                <w:sz w:val="23"/>
                <w:szCs w:val="23"/>
                <w:highlight w:val="cyan"/>
              </w:rPr>
              <w:t xml:space="preserve">on article </w:t>
            </w:r>
            <w:r w:rsidR="00EC1FEF" w:rsidRPr="00611F94">
              <w:rPr>
                <w:sz w:val="23"/>
                <w:szCs w:val="23"/>
                <w:highlight w:val="cyan"/>
              </w:rPr>
              <w:t>(upload).</w:t>
            </w:r>
            <w:r w:rsidR="00372271">
              <w:rPr>
                <w:sz w:val="23"/>
                <w:szCs w:val="23"/>
              </w:rPr>
              <w:t xml:space="preserve"> </w:t>
            </w:r>
          </w:p>
        </w:tc>
        <w:tc>
          <w:tcPr>
            <w:tcW w:w="2520" w:type="dxa"/>
            <w:shd w:val="clear" w:color="auto" w:fill="D9E2F3" w:themeFill="accent5" w:themeFillTint="33"/>
          </w:tcPr>
          <w:p w14:paraId="2196C071" w14:textId="7B9408B3" w:rsidR="00181A8E" w:rsidRPr="00181A8E" w:rsidRDefault="0039620C" w:rsidP="0039620C">
            <w:pPr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Students will be able to follow the Module for Collection 3: Week 1</w:t>
            </w:r>
            <w:r w:rsidR="00372271">
              <w:rPr>
                <w:sz w:val="23"/>
                <w:szCs w:val="23"/>
              </w:rPr>
              <w:t xml:space="preserve">: </w:t>
            </w:r>
            <w:r w:rsidR="00EC1FEF">
              <w:rPr>
                <w:sz w:val="23"/>
                <w:szCs w:val="23"/>
              </w:rPr>
              <w:t xml:space="preserve">view screenshot instruction video (print provided); </w:t>
            </w:r>
            <w:r w:rsidR="00EC1FEF" w:rsidRPr="00611F94">
              <w:rPr>
                <w:sz w:val="23"/>
                <w:szCs w:val="23"/>
                <w:highlight w:val="cyan"/>
              </w:rPr>
              <w:t xml:space="preserve">complete text structure PDF worksheet (upload); and complete </w:t>
            </w:r>
            <w:r w:rsidR="00BB7460" w:rsidRPr="00611F94">
              <w:rPr>
                <w:sz w:val="23"/>
                <w:szCs w:val="23"/>
                <w:highlight w:val="cyan"/>
              </w:rPr>
              <w:t xml:space="preserve">open-book (online source text) Canvas quiz on </w:t>
            </w:r>
            <w:r w:rsidR="00EC1FEF" w:rsidRPr="00611F94">
              <w:rPr>
                <w:sz w:val="23"/>
                <w:szCs w:val="23"/>
                <w:highlight w:val="cyan"/>
              </w:rPr>
              <w:t>“Escape from Slavery</w:t>
            </w:r>
            <w:r w:rsidR="00BB7460" w:rsidRPr="00611F94">
              <w:rPr>
                <w:sz w:val="23"/>
                <w:szCs w:val="23"/>
                <w:highlight w:val="cyan"/>
              </w:rPr>
              <w:t>” article.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14:paraId="2F616DFE" w14:textId="2C662DF5" w:rsidR="00181A8E" w:rsidRPr="00181A8E" w:rsidRDefault="0039620C" w:rsidP="0039620C">
            <w:pPr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Students will be able to follow the Module for Collection 3: Week 1</w:t>
            </w:r>
            <w:r w:rsidR="00372271" w:rsidRPr="00021A55">
              <w:rPr>
                <w:sz w:val="23"/>
                <w:szCs w:val="23"/>
                <w:highlight w:val="magenta"/>
              </w:rPr>
              <w:t xml:space="preserve">: </w:t>
            </w:r>
            <w:r w:rsidR="00EC1FEF" w:rsidRPr="00021A55">
              <w:rPr>
                <w:sz w:val="23"/>
                <w:szCs w:val="23"/>
                <w:highlight w:val="magenta"/>
              </w:rPr>
              <w:t>complete four activities on quill.org labelled Negation 1.</w:t>
            </w:r>
          </w:p>
        </w:tc>
      </w:tr>
      <w:tr w:rsidR="00181A8E" w:rsidRPr="00181A8E" w14:paraId="140F2C55" w14:textId="77777777" w:rsidTr="0039620C">
        <w:trPr>
          <w:trHeight w:val="233"/>
          <w:jc w:val="center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7CD6DD23" w14:textId="77777777" w:rsidR="00181A8E" w:rsidRPr="00181A8E" w:rsidRDefault="00181A8E" w:rsidP="00181A8E">
            <w:pPr>
              <w:jc w:val="center"/>
              <w:rPr>
                <w:b/>
                <w:sz w:val="23"/>
                <w:szCs w:val="23"/>
              </w:rPr>
            </w:pPr>
            <w:r w:rsidRPr="00181A8E">
              <w:rPr>
                <w:b/>
                <w:sz w:val="23"/>
                <w:szCs w:val="23"/>
              </w:rPr>
              <w:t>Assessment of Learning</w:t>
            </w:r>
          </w:p>
        </w:tc>
        <w:tc>
          <w:tcPr>
            <w:tcW w:w="2535" w:type="dxa"/>
            <w:shd w:val="clear" w:color="auto" w:fill="D9E2F3" w:themeFill="accent5" w:themeFillTint="33"/>
          </w:tcPr>
          <w:p w14:paraId="59EE8F42" w14:textId="0C10FC78" w:rsidR="00181A8E" w:rsidRPr="003266F4" w:rsidRDefault="00FE5B0F" w:rsidP="0039620C">
            <w:pPr>
              <w:ind w:left="206"/>
              <w:contextualSpacing/>
              <w:rPr>
                <w:sz w:val="23"/>
                <w:szCs w:val="23"/>
              </w:rPr>
            </w:pPr>
            <w:r w:rsidRPr="003266F4">
              <w:rPr>
                <w:sz w:val="23"/>
                <w:szCs w:val="23"/>
              </w:rPr>
              <w:t xml:space="preserve">Formative assessments: </w:t>
            </w:r>
            <w:r w:rsidR="00BB7460">
              <w:rPr>
                <w:sz w:val="23"/>
                <w:szCs w:val="23"/>
              </w:rPr>
              <w:t xml:space="preserve">multiple choice Canvas </w:t>
            </w:r>
            <w:r w:rsidR="003266F4" w:rsidRPr="003266F4">
              <w:rPr>
                <w:sz w:val="23"/>
                <w:szCs w:val="23"/>
              </w:rPr>
              <w:t>quiz</w:t>
            </w:r>
            <w:r w:rsidR="00BB7460">
              <w:rPr>
                <w:sz w:val="23"/>
                <w:szCs w:val="23"/>
              </w:rPr>
              <w:t xml:space="preserve">; </w:t>
            </w:r>
            <w:r w:rsidR="003266F4" w:rsidRPr="003266F4">
              <w:rPr>
                <w:sz w:val="23"/>
                <w:szCs w:val="23"/>
              </w:rPr>
              <w:t xml:space="preserve">two </w:t>
            </w:r>
            <w:r w:rsidR="00BB7460">
              <w:rPr>
                <w:sz w:val="23"/>
                <w:szCs w:val="23"/>
              </w:rPr>
              <w:t xml:space="preserve">Canvas </w:t>
            </w:r>
            <w:r w:rsidR="0041223D" w:rsidRPr="003266F4">
              <w:rPr>
                <w:sz w:val="23"/>
                <w:szCs w:val="23"/>
              </w:rPr>
              <w:t>discussions</w:t>
            </w:r>
            <w:r w:rsidR="00BB7460">
              <w:rPr>
                <w:sz w:val="23"/>
                <w:szCs w:val="23"/>
              </w:rPr>
              <w:t>.</w:t>
            </w:r>
          </w:p>
          <w:p w14:paraId="2E3398F4" w14:textId="77777777" w:rsidR="00181A8E" w:rsidRPr="00181A8E" w:rsidRDefault="00181A8E" w:rsidP="00181A8E">
            <w:pPr>
              <w:ind w:left="206"/>
              <w:contextualSpacing/>
              <w:rPr>
                <w:sz w:val="20"/>
              </w:rPr>
            </w:pPr>
          </w:p>
        </w:tc>
        <w:tc>
          <w:tcPr>
            <w:tcW w:w="2430" w:type="dxa"/>
            <w:shd w:val="clear" w:color="auto" w:fill="D9E2F3" w:themeFill="accent5" w:themeFillTint="33"/>
          </w:tcPr>
          <w:p w14:paraId="0C7F94EC" w14:textId="462ABC40" w:rsidR="00181A8E" w:rsidRPr="00181A8E" w:rsidRDefault="0039620C" w:rsidP="00181A8E">
            <w:pPr>
              <w:ind w:left="206"/>
              <w:contextualSpacing/>
              <w:rPr>
                <w:sz w:val="20"/>
              </w:rPr>
            </w:pPr>
            <w:r w:rsidRPr="003266F4">
              <w:rPr>
                <w:sz w:val="23"/>
                <w:szCs w:val="23"/>
              </w:rPr>
              <w:t xml:space="preserve">Formative assessments: </w:t>
            </w:r>
            <w:r w:rsidR="00BB7460" w:rsidRPr="00611F94">
              <w:rPr>
                <w:sz w:val="23"/>
                <w:szCs w:val="23"/>
                <w:highlight w:val="cyan"/>
              </w:rPr>
              <w:t>vocabulary and video discussion PDF worksheet uploads.</w:t>
            </w:r>
          </w:p>
        </w:tc>
        <w:tc>
          <w:tcPr>
            <w:tcW w:w="2610" w:type="dxa"/>
            <w:gridSpan w:val="2"/>
            <w:shd w:val="clear" w:color="auto" w:fill="D9E2F3" w:themeFill="accent5" w:themeFillTint="33"/>
          </w:tcPr>
          <w:p w14:paraId="1580D1C4" w14:textId="18632959" w:rsidR="00181A8E" w:rsidRPr="00181A8E" w:rsidRDefault="0039620C" w:rsidP="00181A8E">
            <w:pPr>
              <w:ind w:left="206"/>
              <w:contextualSpacing/>
              <w:rPr>
                <w:sz w:val="20"/>
              </w:rPr>
            </w:pPr>
            <w:r w:rsidRPr="003266F4">
              <w:rPr>
                <w:sz w:val="23"/>
                <w:szCs w:val="23"/>
              </w:rPr>
              <w:t xml:space="preserve">Formative assessments: </w:t>
            </w:r>
            <w:r w:rsidR="00BB7460" w:rsidRPr="00611F94">
              <w:rPr>
                <w:sz w:val="23"/>
                <w:szCs w:val="23"/>
                <w:highlight w:val="cyan"/>
              </w:rPr>
              <w:t>main idea and details PDF worksheet upload.</w:t>
            </w:r>
          </w:p>
        </w:tc>
        <w:tc>
          <w:tcPr>
            <w:tcW w:w="2520" w:type="dxa"/>
            <w:shd w:val="clear" w:color="auto" w:fill="D9E2F3" w:themeFill="accent5" w:themeFillTint="33"/>
          </w:tcPr>
          <w:p w14:paraId="09FC103E" w14:textId="371BBAC5" w:rsidR="00181A8E" w:rsidRPr="00181A8E" w:rsidRDefault="0039620C" w:rsidP="00181A8E">
            <w:pPr>
              <w:ind w:left="206"/>
              <w:contextualSpacing/>
              <w:rPr>
                <w:sz w:val="20"/>
              </w:rPr>
            </w:pPr>
            <w:r w:rsidRPr="003266F4">
              <w:rPr>
                <w:sz w:val="23"/>
                <w:szCs w:val="23"/>
              </w:rPr>
              <w:t xml:space="preserve">Formative assessments: </w:t>
            </w:r>
            <w:r w:rsidR="00BB7460" w:rsidRPr="00611F94">
              <w:rPr>
                <w:sz w:val="23"/>
                <w:szCs w:val="23"/>
                <w:highlight w:val="cyan"/>
              </w:rPr>
              <w:t>text structures PDF worksheet upload; multiple choice and short answer response</w:t>
            </w:r>
            <w:r w:rsidR="00BB7460">
              <w:rPr>
                <w:sz w:val="23"/>
                <w:szCs w:val="23"/>
              </w:rPr>
              <w:t xml:space="preserve"> Canvas quiz.</w:t>
            </w:r>
          </w:p>
        </w:tc>
        <w:tc>
          <w:tcPr>
            <w:tcW w:w="2340" w:type="dxa"/>
            <w:shd w:val="clear" w:color="auto" w:fill="D9E2F3" w:themeFill="accent5" w:themeFillTint="33"/>
          </w:tcPr>
          <w:p w14:paraId="2607CB4E" w14:textId="61FE0DE2" w:rsidR="00181A8E" w:rsidRPr="00181A8E" w:rsidRDefault="0039620C" w:rsidP="00181A8E">
            <w:pPr>
              <w:ind w:left="206"/>
              <w:contextualSpacing/>
              <w:rPr>
                <w:sz w:val="20"/>
              </w:rPr>
            </w:pPr>
            <w:r w:rsidRPr="003266F4">
              <w:rPr>
                <w:sz w:val="23"/>
                <w:szCs w:val="23"/>
              </w:rPr>
              <w:t xml:space="preserve">Formative assessments: </w:t>
            </w:r>
            <w:r w:rsidR="00EC1FEF" w:rsidRPr="00611F94">
              <w:rPr>
                <w:sz w:val="23"/>
                <w:szCs w:val="23"/>
                <w:highlight w:val="cyan"/>
              </w:rPr>
              <w:t>grammar activities graded on quill.org</w:t>
            </w:r>
          </w:p>
        </w:tc>
      </w:tr>
      <w:tr w:rsidR="00181A8E" w:rsidRPr="00181A8E" w14:paraId="54AAFE52" w14:textId="77777777" w:rsidTr="0039620C">
        <w:trPr>
          <w:jc w:val="center"/>
        </w:trPr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252466D0" w14:textId="77777777" w:rsidR="00181A8E" w:rsidRPr="00181A8E" w:rsidRDefault="00181A8E" w:rsidP="00181A8E">
            <w:pPr>
              <w:jc w:val="center"/>
              <w:rPr>
                <w:b/>
              </w:rPr>
            </w:pPr>
            <w:r w:rsidRPr="00181A8E">
              <w:rPr>
                <w:b/>
              </w:rPr>
              <w:t xml:space="preserve">Differentiated Supports </w:t>
            </w:r>
          </w:p>
        </w:tc>
        <w:tc>
          <w:tcPr>
            <w:tcW w:w="6571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237C4260" w14:textId="0AD3ECB2" w:rsidR="00181A8E" w:rsidRPr="00181A8E" w:rsidRDefault="00FE5B0F" w:rsidP="00181A8E">
            <w:pPr>
              <w:ind w:left="720"/>
              <w:contextualSpacing/>
            </w:pPr>
            <w:r>
              <w:t xml:space="preserve">Students will be able to work at their own pace, </w:t>
            </w:r>
            <w:r w:rsidR="0041223D">
              <w:t xml:space="preserve">they will also be </w:t>
            </w:r>
            <w:r>
              <w:t xml:space="preserve">provided with visual guides, </w:t>
            </w:r>
            <w:r w:rsidR="0041223D">
              <w:t>audio, closed captions,</w:t>
            </w:r>
            <w:r w:rsidR="003266F4">
              <w:t xml:space="preserve"> </w:t>
            </w:r>
            <w:r w:rsidR="0041223D">
              <w:t xml:space="preserve">and video to support </w:t>
            </w:r>
            <w:r w:rsidR="003266F4">
              <w:t xml:space="preserve">the assignments and some </w:t>
            </w:r>
            <w:r w:rsidR="0041223D">
              <w:t>text</w:t>
            </w:r>
            <w:r w:rsidR="003266F4">
              <w:t>s, of which they can utilize as many times as they need.</w:t>
            </w:r>
          </w:p>
        </w:tc>
        <w:tc>
          <w:tcPr>
            <w:tcW w:w="5864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10B2C2F" w14:textId="77777777" w:rsidR="00181A8E" w:rsidRPr="00181A8E" w:rsidRDefault="00181A8E" w:rsidP="00181A8E">
            <w:pPr>
              <w:ind w:left="720"/>
              <w:contextualSpacing/>
            </w:pPr>
          </w:p>
        </w:tc>
      </w:tr>
    </w:tbl>
    <w:p w14:paraId="3EEB7FF5" w14:textId="77777777" w:rsidR="00181A8E" w:rsidRPr="00181A8E" w:rsidRDefault="00181A8E" w:rsidP="00181A8E">
      <w:pPr>
        <w:rPr>
          <w:sz w:val="4"/>
          <w:szCs w:val="8"/>
        </w:rPr>
      </w:pPr>
    </w:p>
    <w:p w14:paraId="6B98B09E" w14:textId="77777777" w:rsidR="00181A8E" w:rsidRPr="00181A8E" w:rsidRDefault="00181A8E" w:rsidP="00181A8E">
      <w:pPr>
        <w:numPr>
          <w:ilvl w:val="0"/>
          <w:numId w:val="1"/>
        </w:numPr>
        <w:contextualSpacing/>
      </w:pPr>
      <w:r w:rsidRPr="00181A8E">
        <w:t>This weekly template should be placed in Microsoft Teams by each teacher the Monday of each week (by 2:00 PM).</w:t>
      </w:r>
    </w:p>
    <w:p w14:paraId="5BBC9CB3" w14:textId="77777777" w:rsidR="00181A8E" w:rsidRPr="00181A8E" w:rsidRDefault="00181A8E" w:rsidP="00181A8E">
      <w:pPr>
        <w:numPr>
          <w:ilvl w:val="0"/>
          <w:numId w:val="1"/>
        </w:numPr>
        <w:contextualSpacing/>
        <w:rPr>
          <w:rFonts w:eastAsiaTheme="minorEastAsia"/>
          <w:b/>
          <w:caps/>
        </w:rPr>
      </w:pPr>
      <w:r w:rsidRPr="00181A8E">
        <w:t xml:space="preserve"> Please utilize brief bullet points and flexibility is maintained as teachers may continue their own lesson plan format in addition to this document.</w:t>
      </w:r>
    </w:p>
    <w:p w14:paraId="6DD4703E" w14:textId="77777777" w:rsidR="00181A8E" w:rsidRPr="00181A8E" w:rsidRDefault="00181A8E" w:rsidP="00181A8E">
      <w:pPr>
        <w:numPr>
          <w:ilvl w:val="0"/>
          <w:numId w:val="1"/>
        </w:numPr>
        <w:contextualSpacing/>
        <w:rPr>
          <w:rFonts w:eastAsiaTheme="minorEastAsia"/>
          <w:b/>
          <w:caps/>
        </w:rPr>
      </w:pPr>
      <w:r w:rsidRPr="00181A8E">
        <w:t>This system-wide approach to lesson planning during virtual instruction will ensure that “eLearning Days” are accounted for in the 180-day academic calendar.</w:t>
      </w:r>
    </w:p>
    <w:p w14:paraId="09E2E5F9" w14:textId="77777777" w:rsidR="00CB161B" w:rsidRPr="00181A8E" w:rsidRDefault="00CB161B" w:rsidP="00181A8E"/>
    <w:sectPr w:rsidR="00CB161B" w:rsidRPr="00181A8E" w:rsidSect="002974C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87E31"/>
    <w:multiLevelType w:val="hybridMultilevel"/>
    <w:tmpl w:val="09F2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C6"/>
    <w:rsid w:val="00021A55"/>
    <w:rsid w:val="000A4FDB"/>
    <w:rsid w:val="000F0A5E"/>
    <w:rsid w:val="00181A8E"/>
    <w:rsid w:val="00213881"/>
    <w:rsid w:val="002745DA"/>
    <w:rsid w:val="002974C6"/>
    <w:rsid w:val="003266F4"/>
    <w:rsid w:val="00372271"/>
    <w:rsid w:val="00375372"/>
    <w:rsid w:val="0039620C"/>
    <w:rsid w:val="0041223D"/>
    <w:rsid w:val="00611F94"/>
    <w:rsid w:val="00857ED3"/>
    <w:rsid w:val="00916D10"/>
    <w:rsid w:val="009E5607"/>
    <w:rsid w:val="00BB7460"/>
    <w:rsid w:val="00CB161B"/>
    <w:rsid w:val="00E12D63"/>
    <w:rsid w:val="00EC1FEF"/>
    <w:rsid w:val="00FE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E6F2"/>
  <w15:chartTrackingRefBased/>
  <w15:docId w15:val="{D4CA1B0C-016D-4C46-8FF1-3F632D37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Ferreira Alves, Elizabeth</dc:creator>
  <cp:keywords/>
  <dc:description/>
  <cp:lastModifiedBy>Garcia, Viola</cp:lastModifiedBy>
  <cp:revision>3</cp:revision>
  <dcterms:created xsi:type="dcterms:W3CDTF">2020-05-01T16:36:00Z</dcterms:created>
  <dcterms:modified xsi:type="dcterms:W3CDTF">2020-05-01T18:02:00Z</dcterms:modified>
</cp:coreProperties>
</file>